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42" w:rsidRPr="000941A8" w:rsidRDefault="00832B42" w:rsidP="00832B42">
      <w:pPr>
        <w:pStyle w:val="NormalWeb"/>
        <w:shd w:val="clear" w:color="auto" w:fill="FFFFFF"/>
        <w:spacing w:before="0" w:beforeAutospacing="0" w:after="0" w:afterAutospacing="0" w:line="276" w:lineRule="auto"/>
        <w:ind w:firstLine="720"/>
        <w:jc w:val="right"/>
        <w:rPr>
          <w:rFonts w:asciiTheme="minorHAnsi" w:hAnsiTheme="minorHAnsi" w:cstheme="minorHAnsi"/>
          <w:b/>
          <w:bCs/>
        </w:rPr>
      </w:pPr>
      <w:r w:rsidRPr="000941A8">
        <w:rPr>
          <w:rFonts w:asciiTheme="minorHAnsi" w:hAnsiTheme="minorHAnsi" w:cstheme="minorHAnsi"/>
          <w:b/>
          <w:bCs/>
        </w:rPr>
        <w:t>ANEXA NR. 3</w:t>
      </w:r>
    </w:p>
    <w:p w:rsidR="00832B42" w:rsidRPr="000941A8" w:rsidRDefault="00832B42" w:rsidP="00832B42">
      <w:pPr>
        <w:pStyle w:val="NormalWeb"/>
        <w:shd w:val="clear" w:color="auto" w:fill="FFFFFF"/>
        <w:spacing w:before="0" w:beforeAutospacing="0" w:after="0" w:afterAutospacing="0" w:line="276" w:lineRule="auto"/>
        <w:ind w:firstLine="720"/>
        <w:jc w:val="center"/>
        <w:rPr>
          <w:rFonts w:asciiTheme="minorHAnsi" w:hAnsiTheme="minorHAnsi" w:cstheme="minorHAnsi"/>
          <w:b/>
          <w:bCs/>
        </w:rPr>
      </w:pPr>
      <w:r w:rsidRPr="000941A8">
        <w:rPr>
          <w:rFonts w:asciiTheme="minorHAnsi" w:hAnsiTheme="minorHAnsi" w:cstheme="minorHAnsi"/>
          <w:b/>
          <w:bCs/>
        </w:rPr>
        <w:t>LISTA INFORMAŢIILOR EXCEPTATE DE LA COMUNICARE, PENTRU RESPECTAREA PRINCIPIULUI CONFIDENŢIALITĂŢII</w:t>
      </w:r>
    </w:p>
    <w:p w:rsidR="00832B42" w:rsidRPr="000941A8" w:rsidRDefault="00832B42" w:rsidP="00832B42">
      <w:pPr>
        <w:pStyle w:val="NormalWeb"/>
        <w:shd w:val="clear" w:color="auto" w:fill="FFFFFF"/>
        <w:spacing w:before="0" w:beforeAutospacing="0" w:after="0" w:afterAutospacing="0" w:line="276" w:lineRule="auto"/>
        <w:ind w:firstLine="225"/>
        <w:jc w:val="both"/>
        <w:rPr>
          <w:rFonts w:asciiTheme="minorHAnsi" w:hAnsiTheme="minorHAnsi" w:cstheme="minorHAnsi"/>
          <w:b/>
          <w:bCs/>
        </w:rPr>
      </w:pP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Rapoartele de control administrativ si întreaga documentație aferentă (anterioară și ulterioara controlului);</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Notele de serviciu cu caracter intern;</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 xml:space="preserve">Sesizările </w:t>
      </w:r>
      <w:proofErr w:type="spellStart"/>
      <w:r w:rsidRPr="000941A8">
        <w:rPr>
          <w:rFonts w:asciiTheme="minorHAnsi" w:hAnsiTheme="minorHAnsi" w:cstheme="minorHAnsi"/>
        </w:rPr>
        <w:t>şi</w:t>
      </w:r>
      <w:proofErr w:type="spellEnd"/>
      <w:r w:rsidRPr="000941A8">
        <w:rPr>
          <w:rFonts w:asciiTheme="minorHAnsi" w:hAnsiTheme="minorHAnsi" w:cstheme="minorHAnsi"/>
        </w:rPr>
        <w:t xml:space="preserve"> documentele privind cercetarea disciplinară;</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 xml:space="preserve">Numerele de telefon ale angajaților din cadrul autorității, precum </w:t>
      </w:r>
      <w:proofErr w:type="spellStart"/>
      <w:r w:rsidRPr="000941A8">
        <w:rPr>
          <w:rFonts w:asciiTheme="minorHAnsi" w:hAnsiTheme="minorHAnsi" w:cstheme="minorHAnsi"/>
        </w:rPr>
        <w:t>şi</w:t>
      </w:r>
      <w:proofErr w:type="spellEnd"/>
      <w:r w:rsidRPr="000941A8">
        <w:rPr>
          <w:rFonts w:asciiTheme="minorHAnsi" w:hAnsiTheme="minorHAnsi" w:cstheme="minorHAnsi"/>
        </w:rPr>
        <w:t xml:space="preserve"> informațiile privind activitățile extraprofesionale ale acestora;</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 xml:space="preserve">Sesizările, cererile </w:t>
      </w:r>
      <w:proofErr w:type="spellStart"/>
      <w:r w:rsidRPr="000941A8">
        <w:rPr>
          <w:rFonts w:asciiTheme="minorHAnsi" w:hAnsiTheme="minorHAnsi" w:cstheme="minorHAnsi"/>
        </w:rPr>
        <w:t>şi</w:t>
      </w:r>
      <w:proofErr w:type="spellEnd"/>
      <w:r w:rsidRPr="000941A8">
        <w:rPr>
          <w:rFonts w:asciiTheme="minorHAnsi" w:hAnsiTheme="minorHAnsi" w:cstheme="minorHAnsi"/>
        </w:rPr>
        <w:t xml:space="preserve"> plângerile persoanelor vizate, ale operatorilor de date cu caracter personal, precum </w:t>
      </w:r>
      <w:proofErr w:type="spellStart"/>
      <w:r w:rsidRPr="000941A8">
        <w:rPr>
          <w:rFonts w:asciiTheme="minorHAnsi" w:hAnsiTheme="minorHAnsi" w:cstheme="minorHAnsi"/>
        </w:rPr>
        <w:t>şi</w:t>
      </w:r>
      <w:proofErr w:type="spellEnd"/>
      <w:r w:rsidRPr="000941A8">
        <w:rPr>
          <w:rFonts w:asciiTheme="minorHAnsi" w:hAnsiTheme="minorHAnsi" w:cstheme="minorHAnsi"/>
        </w:rPr>
        <w:t xml:space="preserve"> ale altor persoane interesate;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Registrul general de intrare-ieșire a corespondenței;</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Registrele cf OG nr. 27/2002, Legii nr. 202/2002; </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 xml:space="preserve">Registrul pentru înregistrarea cererilor </w:t>
      </w:r>
      <w:proofErr w:type="spellStart"/>
      <w:r w:rsidRPr="000941A8">
        <w:rPr>
          <w:rFonts w:asciiTheme="minorHAnsi" w:hAnsiTheme="minorHAnsi" w:cstheme="minorHAnsi"/>
        </w:rPr>
        <w:t>şi</w:t>
      </w:r>
      <w:proofErr w:type="spellEnd"/>
      <w:r w:rsidRPr="000941A8">
        <w:rPr>
          <w:rFonts w:asciiTheme="minorHAnsi" w:hAnsiTheme="minorHAnsi" w:cstheme="minorHAnsi"/>
        </w:rPr>
        <w:t xml:space="preserve"> răspunsurilor privind accesul la informațiile de interes public;</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Registrul de dosare (cereri, plângeri sau sesizări);</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Registrele de evidentă a deciziilor și deciziile interne emise;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Registrele pentru contracte;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 xml:space="preserve">Registrul special de corespondență secretă </w:t>
      </w:r>
      <w:proofErr w:type="spellStart"/>
      <w:r w:rsidRPr="000941A8">
        <w:rPr>
          <w:rFonts w:asciiTheme="minorHAnsi" w:hAnsiTheme="minorHAnsi" w:cstheme="minorHAnsi"/>
        </w:rPr>
        <w:t>şi</w:t>
      </w:r>
      <w:proofErr w:type="spellEnd"/>
      <w:r w:rsidRPr="000941A8">
        <w:rPr>
          <w:rFonts w:asciiTheme="minorHAnsi" w:hAnsiTheme="minorHAnsi" w:cstheme="minorHAnsi"/>
        </w:rPr>
        <w:t xml:space="preserve"> confidențială;</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Registrul de arhivă si documentele de selecționare;</w:t>
      </w:r>
    </w:p>
    <w:p w:rsidR="00832B42" w:rsidRPr="000941A8" w:rsidRDefault="00832B42" w:rsidP="00832B42">
      <w:pPr>
        <w:numPr>
          <w:ilvl w:val="0"/>
          <w:numId w:val="1"/>
        </w:numPr>
        <w:spacing w:after="5" w:line="276" w:lineRule="auto"/>
        <w:ind w:right="28"/>
        <w:jc w:val="both"/>
        <w:rPr>
          <w:rFonts w:cstheme="minorHAnsi"/>
          <w:strike/>
          <w:sz w:val="24"/>
          <w:szCs w:val="24"/>
        </w:rPr>
      </w:pPr>
      <w:r w:rsidRPr="000941A8">
        <w:rPr>
          <w:rFonts w:eastAsia="Times New Roman" w:cstheme="minorHAnsi"/>
          <w:sz w:val="24"/>
          <w:szCs w:val="24"/>
        </w:rPr>
        <w:t>Opiniile legale, studiile, analizele, evaluările si propunerile rezultate din activitatea de consultanta sau asistenta juridica</w:t>
      </w:r>
      <w:r w:rsidRPr="000941A8">
        <w:rPr>
          <w:rFonts w:eastAsia="Times New Roman" w:cstheme="minorHAnsi"/>
          <w:b/>
          <w:bCs/>
          <w:sz w:val="24"/>
          <w:szCs w:val="24"/>
        </w:rPr>
        <w:t>.</w:t>
      </w:r>
      <w:r w:rsidRPr="000941A8">
        <w:rPr>
          <w:rFonts w:eastAsia="Times New Roman" w:cstheme="minorHAnsi"/>
          <w:sz w:val="24"/>
          <w:szCs w:val="24"/>
        </w:rPr>
        <w:t xml:space="preserve">  </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Registrul de inventariere a bunurilor;</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 xml:space="preserve">Corespondența cu instituțiile publice interne </w:t>
      </w:r>
      <w:proofErr w:type="spellStart"/>
      <w:r w:rsidRPr="000941A8">
        <w:rPr>
          <w:rFonts w:asciiTheme="minorHAnsi" w:hAnsiTheme="minorHAnsi" w:cstheme="minorHAnsi"/>
        </w:rPr>
        <w:t>şi</w:t>
      </w:r>
      <w:proofErr w:type="spellEnd"/>
      <w:r w:rsidRPr="000941A8">
        <w:rPr>
          <w:rFonts w:asciiTheme="minorHAnsi" w:hAnsiTheme="minorHAnsi" w:cstheme="minorHAnsi"/>
        </w:rPr>
        <w:t xml:space="preserve"> internaționale;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 xml:space="preserve">Dosarele privind litigiile în care instituția este implicată, documentele aferente </w:t>
      </w:r>
      <w:proofErr w:type="spellStart"/>
      <w:r w:rsidRPr="000941A8">
        <w:rPr>
          <w:rFonts w:asciiTheme="minorHAnsi" w:hAnsiTheme="minorHAnsi" w:cstheme="minorHAnsi"/>
        </w:rPr>
        <w:t>şi</w:t>
      </w:r>
      <w:proofErr w:type="spellEnd"/>
      <w:r w:rsidRPr="000941A8">
        <w:rPr>
          <w:rFonts w:asciiTheme="minorHAnsi" w:hAnsiTheme="minorHAnsi" w:cstheme="minorHAnsi"/>
        </w:rPr>
        <w:t xml:space="preserve"> datele de identificare ale persoanelor care reprezintă/susțin interesele instituției în aceste litigii;</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Procesele-verbale de constatare;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 xml:space="preserve">Rapoartele întocmite ca urmare a acțiunilor de control; </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Notele de audiere;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 xml:space="preserve">Corespondența cu agenții economici, operatorii de date cu caracter personal </w:t>
      </w:r>
      <w:proofErr w:type="spellStart"/>
      <w:r w:rsidRPr="000941A8">
        <w:rPr>
          <w:rFonts w:asciiTheme="minorHAnsi" w:hAnsiTheme="minorHAnsi" w:cstheme="minorHAnsi"/>
        </w:rPr>
        <w:t>şi</w:t>
      </w:r>
      <w:proofErr w:type="spellEnd"/>
      <w:r w:rsidRPr="000941A8">
        <w:rPr>
          <w:rFonts w:asciiTheme="minorHAnsi" w:hAnsiTheme="minorHAnsi" w:cstheme="minorHAnsi"/>
        </w:rPr>
        <w:t xml:space="preserve"> persoanele vizate;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 xml:space="preserve">Documentele a căror comunicare publică poate afecta dreptul la viață intimă, familială </w:t>
      </w:r>
      <w:proofErr w:type="spellStart"/>
      <w:r w:rsidRPr="000941A8">
        <w:rPr>
          <w:rFonts w:asciiTheme="minorHAnsi" w:hAnsiTheme="minorHAnsi" w:cstheme="minorHAnsi"/>
        </w:rPr>
        <w:t>şi</w:t>
      </w:r>
      <w:proofErr w:type="spellEnd"/>
      <w:r w:rsidRPr="000941A8">
        <w:rPr>
          <w:rFonts w:asciiTheme="minorHAnsi" w:hAnsiTheme="minorHAnsi" w:cstheme="minorHAnsi"/>
        </w:rPr>
        <w:t xml:space="preserve"> privată a persoanei vizate sau poate influenta modul de soluționare a dosarele aflate pe rolul instanțelor de judecată;</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Note si dispoziții interne emise de conducătorii structurilor funcționale din cadrul instituției;</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Statele de funcții si de salarii;</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Contractele individuale de munca si dosarele profesionale, inclusiv fise de post;</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Numerele de telefon personale ale angajaților instituției;</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lastRenderedPageBreak/>
        <w:t>Dosarele profesionale ale membrilor aleși ai ASAS;</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Condici de prezenta;</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Note de lichidare;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Adeverințe de vechime si alte tipuri de adeverințe;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Planul anual de formare profesionala</w:t>
      </w:r>
      <w:r w:rsidRPr="000941A8">
        <w:rPr>
          <w:rFonts w:asciiTheme="minorHAnsi" w:hAnsiTheme="minorHAnsi" w:cstheme="minorHAnsi"/>
          <w:lang w:val="en-US"/>
        </w:rPr>
        <w:t>;</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 xml:space="preserve">Planificările anuale </w:t>
      </w:r>
      <w:proofErr w:type="spellStart"/>
      <w:r w:rsidRPr="000941A8">
        <w:rPr>
          <w:rFonts w:asciiTheme="minorHAnsi" w:hAnsiTheme="minorHAnsi" w:cstheme="minorHAnsi"/>
        </w:rPr>
        <w:t>şi</w:t>
      </w:r>
      <w:proofErr w:type="spellEnd"/>
      <w:r w:rsidRPr="000941A8">
        <w:rPr>
          <w:rFonts w:asciiTheme="minorHAnsi" w:hAnsiTheme="minorHAnsi" w:cstheme="minorHAnsi"/>
        </w:rPr>
        <w:t xml:space="preserve"> trimestriale ale activităților de control;</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Planul anual si multianual privind activitățile referitoare la relațiile externe ale instituției;</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Rapoartele de audit și întreaga documentație aferentă (anterioară și ulterioara controlului);</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Contractele de arenda/ închiriere/ achiziții publice sub 5000 euro/ asistenta juridica;</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Dosarele de cercetare disciplinara;</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Deciziile de numire sau revocare;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Contractele de management si indicatorii de performanta;</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Notele de fundamentare BVC;</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Rapoarte si analize interne;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Referate;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Regulamente interne;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Regulamentul consiliilor de administrație;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Informări, note, puncte de vedere, observații interne;</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Protocoale si alte documente de cooperare interna/internaționala in domeniile ASAS;</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Sistemul de control intern managerial si documentele aferente dezvoltării si implementării acestuia;</w:t>
      </w:r>
    </w:p>
    <w:p w:rsidR="00832B42" w:rsidRPr="000941A8" w:rsidRDefault="00832B42" w:rsidP="00832B42">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Conținutul proiectelor de cdi;</w:t>
      </w:r>
    </w:p>
    <w:p w:rsidR="00832B42" w:rsidRPr="000941A8" w:rsidRDefault="00832B42" w:rsidP="00832B42">
      <w:pPr>
        <w:numPr>
          <w:ilvl w:val="0"/>
          <w:numId w:val="1"/>
        </w:numPr>
        <w:spacing w:after="3" w:line="276" w:lineRule="auto"/>
        <w:jc w:val="both"/>
        <w:rPr>
          <w:rFonts w:cstheme="minorHAnsi"/>
          <w:sz w:val="24"/>
          <w:szCs w:val="24"/>
        </w:rPr>
      </w:pPr>
      <w:r w:rsidRPr="000941A8">
        <w:rPr>
          <w:rFonts w:cstheme="minorHAnsi"/>
          <w:sz w:val="24"/>
          <w:szCs w:val="24"/>
        </w:rPr>
        <w:t>Caietele de observații pe suport de hârtie sau electronic si notițele cercetătorului, indiferent de suportul pe care au fost înregistrate, daca conțin observații si rezultate preliminare ale cercetărilor în curs, pentru a proteja rezultatele obținute și a evita divulgarea prematura, înainte de aprobarea publicării oficiale;</w:t>
      </w:r>
    </w:p>
    <w:p w:rsidR="00832B42" w:rsidRPr="000941A8" w:rsidRDefault="00832B42" w:rsidP="00832B42">
      <w:pPr>
        <w:numPr>
          <w:ilvl w:val="0"/>
          <w:numId w:val="1"/>
        </w:numPr>
        <w:spacing w:after="5" w:line="276" w:lineRule="auto"/>
        <w:jc w:val="both"/>
        <w:rPr>
          <w:rFonts w:cstheme="minorHAnsi"/>
          <w:sz w:val="24"/>
          <w:szCs w:val="24"/>
        </w:rPr>
      </w:pPr>
      <w:r w:rsidRPr="000941A8">
        <w:rPr>
          <w:rFonts w:cstheme="minorHAnsi"/>
          <w:sz w:val="24"/>
          <w:szCs w:val="24"/>
        </w:rPr>
        <w:t xml:space="preserve">Datele, măsurătorile, analizele, determinările, observațiile, documentele întocmite în activitatea de cercetare / cuprinse în rapoartele de cercetare științifică, comunicate la instituțiile abilitate, până la omologarea produsului sau după caz, </w:t>
      </w:r>
      <w:r w:rsidRPr="000941A8">
        <w:rPr>
          <w:rFonts w:eastAsia="Times New Roman" w:cstheme="minorHAnsi"/>
          <w:sz w:val="24"/>
          <w:szCs w:val="24"/>
        </w:rPr>
        <w:t xml:space="preserve">până </w:t>
      </w:r>
      <w:r w:rsidRPr="000941A8">
        <w:rPr>
          <w:rFonts w:cstheme="minorHAnsi"/>
          <w:sz w:val="24"/>
          <w:szCs w:val="24"/>
        </w:rPr>
        <w:t>la publicarea rapoartelor parțiale sau finale de cercetare pe pagina web ale UCDI sau ale contractorului;</w:t>
      </w:r>
    </w:p>
    <w:p w:rsidR="00832B42" w:rsidRPr="000941A8" w:rsidRDefault="00832B42" w:rsidP="00832B42">
      <w:pPr>
        <w:numPr>
          <w:ilvl w:val="0"/>
          <w:numId w:val="1"/>
        </w:numPr>
        <w:spacing w:after="3" w:line="276" w:lineRule="auto"/>
        <w:jc w:val="both"/>
        <w:rPr>
          <w:rFonts w:cstheme="minorHAnsi"/>
          <w:sz w:val="24"/>
          <w:szCs w:val="24"/>
        </w:rPr>
      </w:pPr>
      <w:r w:rsidRPr="000941A8">
        <w:rPr>
          <w:rFonts w:cstheme="minorHAnsi"/>
          <w:sz w:val="24"/>
          <w:szCs w:val="24"/>
        </w:rPr>
        <w:t xml:space="preserve">Date experimentale nepublicate, de orice fel, ce pot conține detalii care oferă un avantaj competitiv, pentru a menține confidențialitatea </w:t>
      </w:r>
      <w:r w:rsidRPr="000941A8">
        <w:rPr>
          <w:rFonts w:cstheme="minorHAnsi"/>
          <w:noProof/>
          <w:sz w:val="24"/>
          <w:szCs w:val="24"/>
        </w:rPr>
        <w:t xml:space="preserve">si </w:t>
      </w:r>
      <w:r w:rsidRPr="000941A8">
        <w:rPr>
          <w:rFonts w:cstheme="minorHAnsi"/>
          <w:sz w:val="24"/>
          <w:szCs w:val="24"/>
        </w:rPr>
        <w:t>a se asigura protecția dreptului de proprietate intelectuala;</w:t>
      </w:r>
    </w:p>
    <w:p w:rsidR="00832B42" w:rsidRPr="000941A8" w:rsidRDefault="00832B42" w:rsidP="00832B42">
      <w:pPr>
        <w:numPr>
          <w:ilvl w:val="0"/>
          <w:numId w:val="1"/>
        </w:numPr>
        <w:spacing w:after="5" w:line="276" w:lineRule="auto"/>
        <w:jc w:val="both"/>
        <w:rPr>
          <w:rFonts w:cstheme="minorHAnsi"/>
          <w:sz w:val="24"/>
          <w:szCs w:val="24"/>
        </w:rPr>
      </w:pPr>
      <w:r w:rsidRPr="000941A8">
        <w:rPr>
          <w:rFonts w:cstheme="minorHAnsi"/>
          <w:sz w:val="24"/>
          <w:szCs w:val="24"/>
        </w:rPr>
        <w:t>Rezultatele activității de cercetare - dezvoltare nediseminate, neimplementate, nebrevetate, constând în:</w:t>
      </w:r>
    </w:p>
    <w:p w:rsidR="00832B42" w:rsidRPr="000941A8" w:rsidRDefault="00832B42" w:rsidP="00832B42">
      <w:pPr>
        <w:numPr>
          <w:ilvl w:val="1"/>
          <w:numId w:val="1"/>
        </w:numPr>
        <w:spacing w:after="3" w:line="276" w:lineRule="auto"/>
        <w:ind w:right="28"/>
        <w:jc w:val="both"/>
        <w:rPr>
          <w:rFonts w:cstheme="minorHAnsi"/>
          <w:sz w:val="24"/>
          <w:szCs w:val="24"/>
        </w:rPr>
      </w:pPr>
      <w:r w:rsidRPr="000941A8">
        <w:rPr>
          <w:rFonts w:cstheme="minorHAnsi"/>
          <w:sz w:val="24"/>
          <w:szCs w:val="24"/>
        </w:rPr>
        <w:t>documentații, studii, lucrări, planuri, scheme, alte asemenea;</w:t>
      </w:r>
    </w:p>
    <w:p w:rsidR="00832B42" w:rsidRPr="000941A8" w:rsidRDefault="00832B42" w:rsidP="00832B42">
      <w:pPr>
        <w:numPr>
          <w:ilvl w:val="1"/>
          <w:numId w:val="1"/>
        </w:numPr>
        <w:spacing w:after="5" w:line="276" w:lineRule="auto"/>
        <w:ind w:right="28"/>
        <w:jc w:val="both"/>
        <w:rPr>
          <w:rFonts w:cstheme="minorHAnsi"/>
          <w:sz w:val="24"/>
          <w:szCs w:val="24"/>
        </w:rPr>
      </w:pPr>
      <w:r w:rsidRPr="000941A8">
        <w:rPr>
          <w:rFonts w:cstheme="minorHAnsi"/>
          <w:sz w:val="24"/>
          <w:szCs w:val="24"/>
        </w:rPr>
        <w:t>tehnologii, procedee, produse, rețete, metode, alte asemenea;</w:t>
      </w:r>
    </w:p>
    <w:p w:rsidR="00832B42" w:rsidRPr="000941A8" w:rsidRDefault="00832B42" w:rsidP="00832B42">
      <w:pPr>
        <w:numPr>
          <w:ilvl w:val="1"/>
          <w:numId w:val="1"/>
        </w:numPr>
        <w:spacing w:after="5" w:line="276" w:lineRule="auto"/>
        <w:ind w:right="28"/>
        <w:jc w:val="both"/>
        <w:rPr>
          <w:rFonts w:cstheme="minorHAnsi"/>
          <w:sz w:val="24"/>
          <w:szCs w:val="24"/>
        </w:rPr>
      </w:pPr>
      <w:r w:rsidRPr="000941A8">
        <w:rPr>
          <w:rFonts w:cstheme="minorHAnsi"/>
          <w:sz w:val="24"/>
          <w:szCs w:val="24"/>
        </w:rPr>
        <w:lastRenderedPageBreak/>
        <w:t>colecții, baze de date, etc. cât timp sunt în stadiul de proiect, de execuție, nefinalizate, neomologate, neautorizate, omologate sau raportate ca rezultate de cercetare, la solicitarea contractorului</w:t>
      </w:r>
    </w:p>
    <w:p w:rsidR="00832B42" w:rsidRPr="000941A8" w:rsidRDefault="00832B42" w:rsidP="00832B42">
      <w:pPr>
        <w:numPr>
          <w:ilvl w:val="0"/>
          <w:numId w:val="1"/>
        </w:numPr>
        <w:spacing w:after="3" w:line="276" w:lineRule="auto"/>
        <w:jc w:val="both"/>
        <w:rPr>
          <w:rFonts w:cstheme="minorHAnsi"/>
          <w:sz w:val="24"/>
          <w:szCs w:val="24"/>
        </w:rPr>
      </w:pPr>
      <w:r w:rsidRPr="000941A8">
        <w:rPr>
          <w:rFonts w:cstheme="minorHAnsi"/>
          <w:bCs/>
          <w:sz w:val="24"/>
          <w:szCs w:val="24"/>
        </w:rPr>
        <w:t>Genitorii parentali ai hibrizilor si</w:t>
      </w:r>
      <w:r w:rsidRPr="000941A8">
        <w:rPr>
          <w:rFonts w:cstheme="minorHAnsi"/>
          <w:sz w:val="24"/>
          <w:szCs w:val="24"/>
        </w:rPr>
        <w:t xml:space="preserve"> sau soiurile aflate în testare în rețeaua ISTIS, până la înregistrarea / omologarea lor prin înscriere în Catalogul Oficial al soiurilor de plante de cultură din România sau în Catalogul Comun.</w:t>
      </w:r>
    </w:p>
    <w:p w:rsidR="00832B42" w:rsidRPr="000941A8" w:rsidRDefault="00832B42" w:rsidP="00832B42">
      <w:pPr>
        <w:numPr>
          <w:ilvl w:val="0"/>
          <w:numId w:val="1"/>
        </w:numPr>
        <w:spacing w:after="5" w:line="276" w:lineRule="auto"/>
        <w:jc w:val="both"/>
        <w:rPr>
          <w:rFonts w:cstheme="minorHAnsi"/>
          <w:sz w:val="24"/>
          <w:szCs w:val="24"/>
        </w:rPr>
      </w:pPr>
      <w:r w:rsidRPr="000941A8">
        <w:rPr>
          <w:rFonts w:cstheme="minorHAnsi"/>
          <w:sz w:val="24"/>
          <w:szCs w:val="24"/>
        </w:rPr>
        <w:t>Activitatea de creare a liniilor / familiilor / metișilor de animale domestice, inclusiv conceptele utilizate în îmbunătățirea lor prin ameliorare până la înregistrarea / omologarea lor.</w:t>
      </w:r>
    </w:p>
    <w:p w:rsidR="00832B42" w:rsidRPr="000941A8" w:rsidRDefault="00832B42" w:rsidP="00832B42">
      <w:pPr>
        <w:numPr>
          <w:ilvl w:val="0"/>
          <w:numId w:val="1"/>
        </w:numPr>
        <w:spacing w:after="3" w:line="276" w:lineRule="auto"/>
        <w:jc w:val="both"/>
        <w:rPr>
          <w:rFonts w:cstheme="minorHAnsi"/>
          <w:sz w:val="24"/>
          <w:szCs w:val="24"/>
        </w:rPr>
      </w:pPr>
      <w:r w:rsidRPr="000941A8">
        <w:rPr>
          <w:rFonts w:cstheme="minorHAnsi"/>
          <w:sz w:val="24"/>
          <w:szCs w:val="24"/>
        </w:rPr>
        <w:t>Documentele care conțin rezultatele preliminare ale testelor de omologare, inclusiv performanta, rezistenta la boli si alți factori, până la finalizarea procesului de evaluare, aprobare, înscriere în catalog / omologare, după caz;</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t>Documente emise în activitatea</w:t>
      </w:r>
      <w:r w:rsidRPr="000941A8">
        <w:rPr>
          <w:rFonts w:cstheme="minorHAnsi"/>
          <w:sz w:val="24"/>
          <w:szCs w:val="24"/>
        </w:rPr>
        <w:t xml:space="preserve"> </w:t>
      </w:r>
      <w:r w:rsidRPr="000941A8">
        <w:rPr>
          <w:rFonts w:eastAsia="Times New Roman" w:cstheme="minorHAnsi"/>
          <w:sz w:val="24"/>
          <w:szCs w:val="24"/>
        </w:rPr>
        <w:t>de cercetare, până la omologarea sau brevetarea unui produs medical veterinar;</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t xml:space="preserve">Situații privind stocurile deținute de </w:t>
      </w:r>
      <w:proofErr w:type="spellStart"/>
      <w:r w:rsidRPr="000941A8">
        <w:rPr>
          <w:rFonts w:eastAsia="Times New Roman" w:cstheme="minorHAnsi"/>
          <w:sz w:val="24"/>
          <w:szCs w:val="24"/>
        </w:rPr>
        <w:t>ucd</w:t>
      </w:r>
      <w:proofErr w:type="spellEnd"/>
      <w:r w:rsidRPr="000941A8">
        <w:rPr>
          <w:rFonts w:eastAsia="Times New Roman" w:cstheme="minorHAnsi"/>
          <w:sz w:val="24"/>
          <w:szCs w:val="24"/>
        </w:rPr>
        <w:t xml:space="preserve"> pe soiuri, rase si alte categorii biologice;</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t>Situații privind suprafețele ocupate cu producerea de semințe si material săditor, pe specii;</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t xml:space="preserve">Situații privind cantitățile obținute de </w:t>
      </w:r>
      <w:proofErr w:type="spellStart"/>
      <w:r w:rsidRPr="000941A8">
        <w:rPr>
          <w:rFonts w:eastAsia="Times New Roman" w:cstheme="minorHAnsi"/>
          <w:sz w:val="24"/>
          <w:szCs w:val="24"/>
        </w:rPr>
        <w:t>ucd</w:t>
      </w:r>
      <w:proofErr w:type="spellEnd"/>
      <w:r w:rsidRPr="000941A8">
        <w:rPr>
          <w:rFonts w:eastAsia="Times New Roman" w:cstheme="minorHAnsi"/>
          <w:sz w:val="24"/>
          <w:szCs w:val="24"/>
        </w:rPr>
        <w:t xml:space="preserve"> pe soiuri si rase destinate consumului/vânzării pe categorii biologice;</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t xml:space="preserve">Situații privind preturile medii de vânzare ale producțiilor obținute de </w:t>
      </w:r>
      <w:proofErr w:type="spellStart"/>
      <w:r w:rsidRPr="000941A8">
        <w:rPr>
          <w:rFonts w:eastAsia="Times New Roman" w:cstheme="minorHAnsi"/>
          <w:sz w:val="24"/>
          <w:szCs w:val="24"/>
        </w:rPr>
        <w:t>ucd</w:t>
      </w:r>
      <w:proofErr w:type="spellEnd"/>
      <w:r w:rsidRPr="000941A8">
        <w:rPr>
          <w:rFonts w:eastAsia="Times New Roman" w:cstheme="minorHAnsi"/>
          <w:sz w:val="24"/>
          <w:szCs w:val="24"/>
        </w:rPr>
        <w:t xml:space="preserve"> destinate consumului/vânzării pe specii si rase;</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t xml:space="preserve">Situații privind veniturile realizate de </w:t>
      </w:r>
      <w:proofErr w:type="spellStart"/>
      <w:r w:rsidRPr="000941A8">
        <w:rPr>
          <w:rFonts w:eastAsia="Times New Roman" w:cstheme="minorHAnsi"/>
          <w:sz w:val="24"/>
          <w:szCs w:val="24"/>
        </w:rPr>
        <w:t>ucd</w:t>
      </w:r>
      <w:proofErr w:type="spellEnd"/>
      <w:r w:rsidRPr="000941A8">
        <w:rPr>
          <w:rFonts w:eastAsia="Times New Roman" w:cstheme="minorHAnsi"/>
          <w:sz w:val="24"/>
          <w:szCs w:val="24"/>
        </w:rPr>
        <w:t xml:space="preserve"> din vânzarea materialului biologic vegetal si animal, pe categorii biologice;</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t>Informații din cadrul propunerilor tehnice si / sau financiare, elemente din propunerile financiare sau fundamentări / justificări de preț / cost, indicate de operatorii economici în cadrul procedurilor de achiziții publice, până la finalizarea achiziției publice;</w:t>
      </w:r>
    </w:p>
    <w:p w:rsidR="00832B42" w:rsidRPr="000941A8" w:rsidRDefault="00832B42" w:rsidP="00832B42">
      <w:pPr>
        <w:numPr>
          <w:ilvl w:val="0"/>
          <w:numId w:val="1"/>
        </w:numPr>
        <w:spacing w:after="78" w:line="276" w:lineRule="auto"/>
        <w:jc w:val="both"/>
        <w:rPr>
          <w:rFonts w:cstheme="minorHAnsi"/>
          <w:sz w:val="24"/>
          <w:szCs w:val="24"/>
        </w:rPr>
      </w:pPr>
      <w:r w:rsidRPr="000941A8">
        <w:rPr>
          <w:rFonts w:eastAsia="Times New Roman" w:cstheme="minorHAnsi"/>
          <w:sz w:val="24"/>
          <w:szCs w:val="24"/>
        </w:rPr>
        <w:t>Note de negociere a contractelor interne / externe care conțin informații clasificate secrete de serviciu așa cum sunt definite de legea nr. 182/2022, cap. III, art. 31-33);</w:t>
      </w:r>
    </w:p>
    <w:p w:rsidR="00832B42" w:rsidRPr="000941A8" w:rsidRDefault="00832B42" w:rsidP="00832B42">
      <w:pPr>
        <w:numPr>
          <w:ilvl w:val="0"/>
          <w:numId w:val="1"/>
        </w:numPr>
        <w:spacing w:after="5" w:line="276" w:lineRule="auto"/>
        <w:jc w:val="both"/>
        <w:rPr>
          <w:rFonts w:cstheme="minorHAnsi"/>
          <w:sz w:val="24"/>
          <w:szCs w:val="24"/>
        </w:rPr>
      </w:pPr>
      <w:r w:rsidRPr="000941A8">
        <w:rPr>
          <w:rFonts w:eastAsia="Times New Roman" w:cstheme="minorHAnsi"/>
          <w:sz w:val="24"/>
          <w:szCs w:val="24"/>
        </w:rPr>
        <w:t>Contracte, acorduri confidențiale - documentele referitoare la colaborări cu terțe părți, românești sau străine, cum ar fi, companii private sau alte instituții de cercetare, dacă acordurile nu prevăd în mod expres renunțarea la confidențialitate / obligația ca respectivele documente să fie publicate;</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t>Contractele cu caracter comercial care au legătură cu obiectul de activitate si a căror publicare ar afecta interesele economice ale unității;</w:t>
      </w:r>
    </w:p>
    <w:p w:rsidR="00832B42" w:rsidRPr="000941A8" w:rsidRDefault="00832B42" w:rsidP="00832B42">
      <w:pPr>
        <w:numPr>
          <w:ilvl w:val="0"/>
          <w:numId w:val="1"/>
        </w:numPr>
        <w:spacing w:after="47" w:line="276" w:lineRule="auto"/>
        <w:jc w:val="both"/>
        <w:rPr>
          <w:rFonts w:cstheme="minorHAnsi"/>
          <w:sz w:val="24"/>
          <w:szCs w:val="24"/>
        </w:rPr>
      </w:pPr>
      <w:r w:rsidRPr="000941A8">
        <w:rPr>
          <w:rFonts w:eastAsia="Times New Roman" w:cstheme="minorHAnsi"/>
          <w:sz w:val="24"/>
          <w:szCs w:val="24"/>
        </w:rPr>
        <w:t>Documente aferente domeniului rechiziționării / mobilizării de bunuri materiale, a prestărilor de serviciilor;</w:t>
      </w:r>
    </w:p>
    <w:p w:rsidR="00832B42" w:rsidRPr="000941A8" w:rsidRDefault="00832B42" w:rsidP="00832B42">
      <w:pPr>
        <w:numPr>
          <w:ilvl w:val="0"/>
          <w:numId w:val="1"/>
        </w:numPr>
        <w:spacing w:after="47" w:line="276" w:lineRule="auto"/>
        <w:jc w:val="both"/>
        <w:rPr>
          <w:rFonts w:cstheme="minorHAnsi"/>
          <w:sz w:val="24"/>
          <w:szCs w:val="24"/>
        </w:rPr>
      </w:pPr>
      <w:r w:rsidRPr="000941A8">
        <w:rPr>
          <w:rFonts w:eastAsia="Times New Roman" w:cstheme="minorHAnsi"/>
          <w:sz w:val="24"/>
          <w:szCs w:val="24"/>
        </w:rPr>
        <w:t>Notele de convorbiri, minutele, procesele verbale, înregistrările audio-video (și transcrierile acestora) încheiate cu partenerii externi / interni / terți, care conțin informații clasificate secrete de serviciu (așa cum sunt definite de legea nr. 182/2022, cap. III, art. 31-33);</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lastRenderedPageBreak/>
        <w:t>Răspunsurile formulate la documentele secrete de serviciu trimise de alți emitenți, care conțin informații din documentele de bază;</w:t>
      </w:r>
    </w:p>
    <w:p w:rsidR="00832B42" w:rsidRPr="000941A8" w:rsidRDefault="00832B42" w:rsidP="00832B42">
      <w:pPr>
        <w:numPr>
          <w:ilvl w:val="0"/>
          <w:numId w:val="1"/>
        </w:numPr>
        <w:spacing w:after="3" w:line="276" w:lineRule="auto"/>
        <w:ind w:left="782"/>
        <w:jc w:val="both"/>
        <w:rPr>
          <w:rFonts w:cstheme="minorHAnsi"/>
          <w:sz w:val="24"/>
          <w:szCs w:val="24"/>
        </w:rPr>
      </w:pPr>
      <w:r w:rsidRPr="000941A8">
        <w:rPr>
          <w:rFonts w:eastAsia="Times New Roman" w:cstheme="minorHAnsi"/>
          <w:sz w:val="24"/>
          <w:szCs w:val="24"/>
        </w:rPr>
        <w:t>Planurile de măsuri, rapoartele, situațiile informative, analizele privind îndeplinirea obiectivelor prioritare din planurile de cooperare, a obiectivelor asumate în relațiile cu alte state;</w:t>
      </w:r>
    </w:p>
    <w:p w:rsidR="00832B42" w:rsidRPr="000941A8" w:rsidRDefault="00832B42" w:rsidP="00832B42">
      <w:pPr>
        <w:numPr>
          <w:ilvl w:val="0"/>
          <w:numId w:val="1"/>
        </w:numPr>
        <w:spacing w:after="5" w:line="276" w:lineRule="auto"/>
        <w:ind w:right="28"/>
        <w:jc w:val="both"/>
        <w:rPr>
          <w:rFonts w:cstheme="minorHAnsi"/>
          <w:sz w:val="24"/>
          <w:szCs w:val="24"/>
        </w:rPr>
      </w:pPr>
      <w:r w:rsidRPr="000941A8">
        <w:rPr>
          <w:rFonts w:eastAsia="Times New Roman" w:cstheme="minorHAnsi"/>
          <w:sz w:val="24"/>
          <w:szCs w:val="24"/>
        </w:rPr>
        <w:t>Informațiile / datele cu caracter de secret de serviciu, primite de la autoritățile / instituțiile publice;</w:t>
      </w:r>
    </w:p>
    <w:p w:rsidR="00832B42" w:rsidRPr="000941A8" w:rsidRDefault="00832B42" w:rsidP="00832B42">
      <w:pPr>
        <w:numPr>
          <w:ilvl w:val="0"/>
          <w:numId w:val="1"/>
        </w:numPr>
        <w:spacing w:after="5" w:line="276" w:lineRule="auto"/>
        <w:ind w:right="28"/>
        <w:jc w:val="both"/>
        <w:rPr>
          <w:rFonts w:cstheme="minorHAnsi"/>
          <w:sz w:val="24"/>
          <w:szCs w:val="24"/>
        </w:rPr>
      </w:pPr>
      <w:r w:rsidRPr="000941A8">
        <w:rPr>
          <w:rFonts w:eastAsia="Times New Roman" w:cstheme="minorHAnsi"/>
          <w:sz w:val="24"/>
          <w:szCs w:val="24"/>
        </w:rPr>
        <w:t>Lista cu personalul unității, verificat si avizat, care are acces la informații clasificate secrete de serviciu;</w:t>
      </w:r>
    </w:p>
    <w:p w:rsidR="00832B42" w:rsidRPr="000941A8" w:rsidRDefault="00832B42" w:rsidP="00832B42">
      <w:pPr>
        <w:numPr>
          <w:ilvl w:val="0"/>
          <w:numId w:val="1"/>
        </w:numPr>
        <w:spacing w:after="27" w:line="276" w:lineRule="auto"/>
        <w:ind w:right="28"/>
        <w:jc w:val="both"/>
        <w:rPr>
          <w:rFonts w:cstheme="minorHAnsi"/>
          <w:sz w:val="24"/>
          <w:szCs w:val="24"/>
        </w:rPr>
      </w:pPr>
      <w:r w:rsidRPr="000941A8">
        <w:rPr>
          <w:rFonts w:eastAsia="Times New Roman" w:cstheme="minorHAnsi"/>
          <w:sz w:val="24"/>
          <w:szCs w:val="24"/>
        </w:rPr>
        <w:t>Informații despre datele personale ale salariaților, alte documente cu caracter personal care intră sub incidenta reglementărilor GDPR, precum și informațiile privind activitățile extraprofesionale ale salariaților;</w:t>
      </w:r>
    </w:p>
    <w:p w:rsidR="00832B42" w:rsidRPr="000941A8" w:rsidRDefault="00832B42" w:rsidP="00832B42">
      <w:pPr>
        <w:numPr>
          <w:ilvl w:val="0"/>
          <w:numId w:val="1"/>
        </w:numPr>
        <w:spacing w:after="5" w:line="276" w:lineRule="auto"/>
        <w:ind w:right="28"/>
        <w:jc w:val="both"/>
        <w:rPr>
          <w:rFonts w:cstheme="minorHAnsi"/>
          <w:sz w:val="24"/>
          <w:szCs w:val="24"/>
        </w:rPr>
      </w:pPr>
      <w:r w:rsidRPr="000941A8">
        <w:rPr>
          <w:rFonts w:eastAsia="Times New Roman" w:cstheme="minorHAnsi"/>
          <w:sz w:val="24"/>
          <w:szCs w:val="24"/>
        </w:rPr>
        <w:t>Documentele a căror comunicare publică poate afecta dreptul la viată intimă / familială / privată a personalului angajat sau care pot influenta modul de soluționare a dosarele aflate pe rolul instanțelor de judecată, precum și cele care pot aduce prejudicii de imagine ale personalului angajat;</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t>Documentele care privesc parolele / alte elemente criptologice stabilite de conducătorul instituției, precum și activitățile privind realizarea si folosirea acestora;</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t>Datele, schemele, programele referitoare la sistemele de comunicații la rețelele de calculatoare utilizate în activitatea de cercetare aplicativă, inclusiv cele referitoare la mecanismele de securitate a acestora;</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t>Suporți de memorie externă utilizați în sistemele informatice acreditate pentru lucrul cu informații clasificate secrete de serviciu;</w:t>
      </w:r>
    </w:p>
    <w:p w:rsidR="00832B42" w:rsidRPr="000941A8" w:rsidRDefault="00832B42" w:rsidP="00832B42">
      <w:pPr>
        <w:numPr>
          <w:ilvl w:val="0"/>
          <w:numId w:val="1"/>
        </w:numPr>
        <w:spacing w:after="3" w:line="276" w:lineRule="auto"/>
        <w:jc w:val="both"/>
        <w:rPr>
          <w:rFonts w:cstheme="minorHAnsi"/>
          <w:sz w:val="24"/>
          <w:szCs w:val="24"/>
        </w:rPr>
      </w:pPr>
      <w:r w:rsidRPr="000941A8">
        <w:rPr>
          <w:rFonts w:eastAsia="Times New Roman" w:cstheme="minorHAnsi"/>
          <w:sz w:val="24"/>
          <w:szCs w:val="24"/>
        </w:rPr>
        <w:t>Lista cu parole de acces, coduri, chei de criptare la sistemele informatice acreditate pentru lucrul cu informații clasificate secrete de serviciu;</w:t>
      </w:r>
    </w:p>
    <w:p w:rsidR="00832B42" w:rsidRPr="000941A8" w:rsidRDefault="00832B42" w:rsidP="00832B42">
      <w:pPr>
        <w:numPr>
          <w:ilvl w:val="0"/>
          <w:numId w:val="1"/>
        </w:numPr>
        <w:spacing w:after="325" w:line="240" w:lineRule="auto"/>
        <w:jc w:val="both"/>
        <w:rPr>
          <w:rFonts w:cstheme="minorHAnsi"/>
          <w:b/>
          <w:bCs/>
          <w:sz w:val="24"/>
          <w:szCs w:val="24"/>
          <w:u w:val="single"/>
        </w:rPr>
      </w:pPr>
      <w:r w:rsidRPr="000941A8">
        <w:rPr>
          <w:rFonts w:eastAsia="Times New Roman" w:cstheme="minorHAnsi"/>
          <w:sz w:val="24"/>
          <w:szCs w:val="24"/>
        </w:rPr>
        <w:t>Sistemele / echipamentele informatice si de comunicații care stochează, procesează si/sau transmit informații clasificate secrete de serviciu;</w:t>
      </w:r>
    </w:p>
    <w:p w:rsidR="00832B42" w:rsidRPr="000941A8" w:rsidRDefault="00832B42" w:rsidP="00832B42">
      <w:pPr>
        <w:numPr>
          <w:ilvl w:val="0"/>
          <w:numId w:val="1"/>
        </w:numPr>
        <w:spacing w:after="325" w:line="240" w:lineRule="auto"/>
        <w:jc w:val="both"/>
        <w:rPr>
          <w:rFonts w:cstheme="minorHAnsi"/>
          <w:sz w:val="24"/>
          <w:szCs w:val="24"/>
        </w:rPr>
      </w:pPr>
      <w:r w:rsidRPr="000941A8">
        <w:rPr>
          <w:rFonts w:eastAsia="Times New Roman" w:cstheme="minorHAnsi"/>
          <w:sz w:val="24"/>
          <w:szCs w:val="24"/>
        </w:rPr>
        <w:t>Programul de Prevenire a Scurgerii de informații Clasificate deținut de unitate;</w:t>
      </w:r>
    </w:p>
    <w:p w:rsidR="00832B42" w:rsidRPr="000941A8" w:rsidRDefault="00832B42" w:rsidP="00832B42">
      <w:pPr>
        <w:numPr>
          <w:ilvl w:val="0"/>
          <w:numId w:val="1"/>
        </w:numPr>
        <w:spacing w:after="325" w:line="240" w:lineRule="auto"/>
        <w:jc w:val="both"/>
        <w:rPr>
          <w:rFonts w:cstheme="minorHAnsi"/>
          <w:sz w:val="24"/>
          <w:szCs w:val="24"/>
        </w:rPr>
      </w:pPr>
      <w:r w:rsidRPr="000941A8">
        <w:rPr>
          <w:rFonts w:eastAsia="Times New Roman" w:cstheme="minorHAnsi"/>
          <w:sz w:val="24"/>
          <w:szCs w:val="24"/>
        </w:rPr>
        <w:t>Documente primite de la alte instituții, clasificate de către emitent ca fiind secret de serviciu;</w:t>
      </w:r>
    </w:p>
    <w:p w:rsidR="00832B42" w:rsidRPr="000941A8" w:rsidRDefault="00832B42" w:rsidP="00832B42">
      <w:pPr>
        <w:numPr>
          <w:ilvl w:val="0"/>
          <w:numId w:val="1"/>
        </w:numPr>
        <w:spacing w:after="325" w:line="240" w:lineRule="auto"/>
        <w:jc w:val="both"/>
        <w:rPr>
          <w:rFonts w:cstheme="minorHAnsi"/>
          <w:sz w:val="24"/>
          <w:szCs w:val="24"/>
        </w:rPr>
      </w:pPr>
      <w:r w:rsidRPr="000941A8">
        <w:rPr>
          <w:rFonts w:eastAsia="Times New Roman" w:cstheme="minorHAnsi"/>
          <w:sz w:val="24"/>
          <w:szCs w:val="24"/>
        </w:rPr>
        <w:t>Răspunsurile formulate la documentele secret de serviciu trimise de alți emitenți, care conțin informații din documentele de bază;</w:t>
      </w:r>
    </w:p>
    <w:p w:rsidR="00832B42" w:rsidRPr="000941A8" w:rsidRDefault="00832B42" w:rsidP="00832B42">
      <w:pPr>
        <w:numPr>
          <w:ilvl w:val="0"/>
          <w:numId w:val="1"/>
        </w:numPr>
        <w:spacing w:after="325" w:line="240" w:lineRule="auto"/>
        <w:jc w:val="both"/>
        <w:rPr>
          <w:rFonts w:cstheme="minorHAnsi"/>
          <w:sz w:val="24"/>
          <w:szCs w:val="24"/>
        </w:rPr>
      </w:pPr>
      <w:r w:rsidRPr="000941A8">
        <w:rPr>
          <w:rFonts w:eastAsia="Times New Roman" w:cstheme="minorHAnsi"/>
          <w:sz w:val="24"/>
          <w:szCs w:val="24"/>
        </w:rPr>
        <w:t>Documentele de evidentă privind elaborarea, multiplicarea, păstrarea, procesarea, manipularea, transportul, trimiterea si distrugerea informațiilor clasificate;</w:t>
      </w:r>
    </w:p>
    <w:p w:rsidR="00832B42" w:rsidRPr="000941A8" w:rsidRDefault="00832B42" w:rsidP="00832B42">
      <w:pPr>
        <w:numPr>
          <w:ilvl w:val="0"/>
          <w:numId w:val="1"/>
        </w:numPr>
        <w:spacing w:after="325" w:line="240" w:lineRule="auto"/>
        <w:jc w:val="both"/>
        <w:rPr>
          <w:rFonts w:cstheme="minorHAnsi"/>
          <w:sz w:val="24"/>
          <w:szCs w:val="24"/>
        </w:rPr>
      </w:pPr>
      <w:r w:rsidRPr="000941A8">
        <w:rPr>
          <w:rFonts w:eastAsia="Times New Roman" w:cstheme="minorHAnsi"/>
          <w:sz w:val="24"/>
          <w:szCs w:val="24"/>
        </w:rPr>
        <w:t>Formularele corespunzătoare anexelor nr. 15, 16 17 din HG nr. 585/2002, completate în vederea obținerii autorizațiilor de acces /certificatelor de securitate, necesare pentru personalul unității;</w:t>
      </w:r>
    </w:p>
    <w:p w:rsidR="00832B42" w:rsidRPr="000941A8" w:rsidRDefault="00832B42" w:rsidP="00832B42">
      <w:pPr>
        <w:numPr>
          <w:ilvl w:val="0"/>
          <w:numId w:val="1"/>
        </w:numPr>
        <w:spacing w:after="325" w:line="240" w:lineRule="auto"/>
        <w:jc w:val="both"/>
        <w:rPr>
          <w:rFonts w:cstheme="minorHAnsi"/>
          <w:sz w:val="24"/>
          <w:szCs w:val="24"/>
        </w:rPr>
      </w:pPr>
      <w:r w:rsidRPr="000941A8">
        <w:rPr>
          <w:rFonts w:eastAsia="Times New Roman" w:cstheme="minorHAnsi"/>
          <w:sz w:val="24"/>
          <w:szCs w:val="24"/>
        </w:rPr>
        <w:lastRenderedPageBreak/>
        <w:t>Documente întocmite în materie de protecție a informațiilor clasificate;</w:t>
      </w:r>
    </w:p>
    <w:p w:rsidR="00832B42" w:rsidRPr="000941A8" w:rsidRDefault="00832B42" w:rsidP="00832B42">
      <w:pPr>
        <w:numPr>
          <w:ilvl w:val="0"/>
          <w:numId w:val="1"/>
        </w:numPr>
        <w:spacing w:after="325" w:line="240" w:lineRule="auto"/>
        <w:jc w:val="both"/>
        <w:rPr>
          <w:rFonts w:cstheme="minorHAnsi"/>
          <w:sz w:val="24"/>
          <w:szCs w:val="24"/>
        </w:rPr>
      </w:pPr>
      <w:r w:rsidRPr="000941A8">
        <w:rPr>
          <w:rFonts w:eastAsia="Times New Roman" w:cstheme="minorHAnsi"/>
          <w:sz w:val="24"/>
          <w:szCs w:val="24"/>
        </w:rPr>
        <w:t xml:space="preserve">Planul de pază si protecție întocmit la nivelul unității; </w:t>
      </w:r>
    </w:p>
    <w:p w:rsidR="00832B42" w:rsidRPr="000941A8" w:rsidRDefault="00832B42" w:rsidP="00832B42">
      <w:pPr>
        <w:numPr>
          <w:ilvl w:val="0"/>
          <w:numId w:val="1"/>
        </w:numPr>
        <w:spacing w:after="325" w:line="240" w:lineRule="auto"/>
        <w:jc w:val="both"/>
        <w:rPr>
          <w:rFonts w:cstheme="minorHAnsi"/>
          <w:sz w:val="24"/>
          <w:szCs w:val="24"/>
        </w:rPr>
      </w:pPr>
      <w:r w:rsidRPr="000941A8">
        <w:rPr>
          <w:rFonts w:eastAsia="Times New Roman" w:cstheme="minorHAnsi"/>
          <w:sz w:val="24"/>
          <w:szCs w:val="24"/>
        </w:rPr>
        <w:t>Planul de evacuare a personalului și bunurilor materiale;</w:t>
      </w:r>
    </w:p>
    <w:p w:rsidR="00832B42" w:rsidRPr="000941A8" w:rsidRDefault="00832B42" w:rsidP="00832B42">
      <w:pPr>
        <w:numPr>
          <w:ilvl w:val="0"/>
          <w:numId w:val="1"/>
        </w:numPr>
        <w:spacing w:after="325" w:line="240" w:lineRule="auto"/>
        <w:jc w:val="both"/>
        <w:rPr>
          <w:rFonts w:cstheme="minorHAnsi"/>
          <w:sz w:val="24"/>
          <w:szCs w:val="24"/>
        </w:rPr>
      </w:pPr>
      <w:r w:rsidRPr="000941A8">
        <w:rPr>
          <w:rFonts w:eastAsia="Times New Roman" w:cstheme="minorHAnsi"/>
          <w:sz w:val="24"/>
          <w:szCs w:val="24"/>
        </w:rPr>
        <w:t>Documente întocmite în materie de apărare civilă;</w:t>
      </w:r>
    </w:p>
    <w:p w:rsidR="00832B42" w:rsidRPr="000941A8" w:rsidRDefault="00832B42" w:rsidP="00832B42">
      <w:pPr>
        <w:numPr>
          <w:ilvl w:val="0"/>
          <w:numId w:val="1"/>
        </w:numPr>
        <w:spacing w:after="325" w:line="240" w:lineRule="auto"/>
        <w:jc w:val="both"/>
        <w:rPr>
          <w:rFonts w:cstheme="minorHAnsi"/>
          <w:sz w:val="24"/>
          <w:szCs w:val="24"/>
        </w:rPr>
      </w:pPr>
      <w:r w:rsidRPr="000941A8">
        <w:rPr>
          <w:rFonts w:eastAsia="Times New Roman" w:cstheme="minorHAnsi"/>
          <w:sz w:val="24"/>
          <w:szCs w:val="24"/>
        </w:rPr>
        <w:t>Planul de acțiune strategică al unității;</w:t>
      </w:r>
    </w:p>
    <w:p w:rsidR="00832B42" w:rsidRPr="000941A8" w:rsidRDefault="00832B42" w:rsidP="00832B42">
      <w:pPr>
        <w:numPr>
          <w:ilvl w:val="0"/>
          <w:numId w:val="1"/>
        </w:numPr>
        <w:spacing w:after="325" w:line="240" w:lineRule="auto"/>
        <w:ind w:left="787"/>
        <w:jc w:val="both"/>
        <w:rPr>
          <w:rFonts w:cstheme="minorHAnsi"/>
          <w:sz w:val="24"/>
          <w:szCs w:val="24"/>
        </w:rPr>
      </w:pPr>
      <w:r w:rsidRPr="000941A8">
        <w:rPr>
          <w:rFonts w:eastAsia="Times New Roman" w:cstheme="minorHAnsi"/>
          <w:sz w:val="24"/>
          <w:szCs w:val="24"/>
        </w:rPr>
        <w:t>Documente întocmite în materia Infrastructurilor Critice Naționale (ICN) — Planul de Securitate al Operatorului;</w:t>
      </w:r>
    </w:p>
    <w:p w:rsidR="00832B42" w:rsidRPr="000941A8" w:rsidRDefault="00832B42" w:rsidP="00832B42">
      <w:pPr>
        <w:spacing w:line="276" w:lineRule="auto"/>
        <w:jc w:val="both"/>
        <w:rPr>
          <w:rFonts w:cstheme="minorHAnsi"/>
          <w:b/>
          <w:bCs/>
          <w:sz w:val="24"/>
          <w:szCs w:val="24"/>
        </w:rPr>
      </w:pPr>
    </w:p>
    <w:p w:rsidR="00832B42" w:rsidRPr="000941A8" w:rsidRDefault="00832B42" w:rsidP="00832B42">
      <w:pPr>
        <w:pStyle w:val="ListParagraph"/>
        <w:spacing w:line="276" w:lineRule="auto"/>
        <w:jc w:val="both"/>
        <w:rPr>
          <w:rFonts w:cstheme="minorHAnsi"/>
          <w:sz w:val="24"/>
          <w:szCs w:val="24"/>
        </w:rPr>
      </w:pPr>
    </w:p>
    <w:p w:rsidR="005754DF" w:rsidRDefault="005754DF">
      <w:bookmarkStart w:id="0" w:name="_GoBack"/>
      <w:bookmarkEnd w:id="0"/>
    </w:p>
    <w:sectPr w:rsidR="005754DF" w:rsidSect="008F6981">
      <w:pgSz w:w="12240" w:h="15840"/>
      <w:pgMar w:top="1440" w:right="81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E5DE3"/>
    <w:multiLevelType w:val="hybridMultilevel"/>
    <w:tmpl w:val="A60CC2B0"/>
    <w:lvl w:ilvl="0" w:tplc="6536453E">
      <w:start w:val="1"/>
      <w:numFmt w:val="decimal"/>
      <w:lvlText w:val="%1."/>
      <w:lvlJc w:val="left"/>
      <w:pPr>
        <w:ind w:left="810" w:hanging="360"/>
      </w:pPr>
      <w:rPr>
        <w:b/>
        <w:strike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A5"/>
    <w:rsid w:val="005754DF"/>
    <w:rsid w:val="00832B42"/>
    <w:rsid w:val="00EF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96168-7086-418D-89D6-9537460A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B42"/>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B4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832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2025-03-25T11:11:00Z</dcterms:created>
  <dcterms:modified xsi:type="dcterms:W3CDTF">2025-03-25T11:11:00Z</dcterms:modified>
</cp:coreProperties>
</file>